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1232C" w:rsidRDefault="00000000">
      <w:pPr>
        <w:jc w:val="center"/>
        <w:rPr>
          <w:b/>
          <w:bCs/>
          <w:sz w:val="30"/>
          <w:szCs w:val="30"/>
        </w:rPr>
      </w:pPr>
      <w:r>
        <w:rPr>
          <w:b/>
          <w:bCs/>
          <w:sz w:val="30"/>
          <w:szCs w:val="30"/>
        </w:rPr>
        <w:t xml:space="preserve">Fort Lupton Intersection </w:t>
      </w:r>
      <w:sdt>
        <w:sdtPr>
          <w:tag w:val="goog_rdk_0"/>
          <w:id w:val="308394542"/>
        </w:sdtPr>
        <w:sdtContent/>
      </w:sdt>
      <w:sdt>
        <w:sdtPr>
          <w:tag w:val="goog_rdk_1"/>
          <w:id w:val="902417773"/>
        </w:sdtPr>
        <w:sdtContent/>
      </w:sdt>
      <w:r>
        <w:rPr>
          <w:b/>
          <w:bCs/>
          <w:sz w:val="30"/>
          <w:szCs w:val="30"/>
        </w:rPr>
        <w:t>README</w:t>
      </w:r>
    </w:p>
    <w:p w14:paraId="00000002" w14:textId="77777777" w:rsidR="00F1232C" w:rsidRDefault="00F1232C">
      <w:pPr>
        <w:jc w:val="center"/>
        <w:rPr>
          <w:b/>
          <w:bCs/>
          <w:sz w:val="30"/>
          <w:szCs w:val="30"/>
        </w:rPr>
      </w:pPr>
    </w:p>
    <w:p w14:paraId="00000003" w14:textId="77777777" w:rsidR="00F1232C" w:rsidRDefault="00000000">
      <w:pPr>
        <w:rPr>
          <w:sz w:val="26"/>
          <w:szCs w:val="26"/>
        </w:rPr>
      </w:pPr>
      <w:r>
        <w:rPr>
          <w:b/>
          <w:bCs/>
          <w:sz w:val="26"/>
          <w:szCs w:val="26"/>
        </w:rPr>
        <w:t>Overview</w:t>
      </w:r>
    </w:p>
    <w:p w14:paraId="00000004" w14:textId="77777777" w:rsidR="00F1232C" w:rsidRDefault="00000000">
      <w:r>
        <w:t>The Fort Lupton Intersection deployment is led by the Air Toxics and Ozone Precursors Program (ATOPs) within the Air Pollution Control Division (APCD) of the Colorado Department of Public Health and Environment (CDPHE). The deployment was initiated to respond to emissions of benzene from a broken orange pipeline along County Road 20 in Fort Lupton. This README file explains the instruments used, compounds detected, units of measurement, and specifications relevant for data interpretation.</w:t>
      </w:r>
    </w:p>
    <w:p w14:paraId="00000005" w14:textId="77777777" w:rsidR="00F1232C" w:rsidRDefault="00F1232C"/>
    <w:p w14:paraId="00000006" w14:textId="77777777" w:rsidR="00F1232C" w:rsidRDefault="00000000">
      <w:pPr>
        <w:rPr>
          <w:b/>
          <w:bCs/>
          <w:sz w:val="26"/>
          <w:szCs w:val="26"/>
        </w:rPr>
      </w:pPr>
      <w:r>
        <w:rPr>
          <w:b/>
          <w:bCs/>
          <w:sz w:val="26"/>
          <w:szCs w:val="26"/>
        </w:rPr>
        <w:t>Measurement Specifications</w:t>
      </w:r>
    </w:p>
    <w:p w14:paraId="00000007" w14:textId="77777777" w:rsidR="00F1232C" w:rsidRDefault="00F1232C">
      <w:pPr>
        <w:rPr>
          <w:b/>
          <w:bCs/>
        </w:rPr>
      </w:pPr>
    </w:p>
    <w:p w14:paraId="00000008" w14:textId="77777777" w:rsidR="00F1232C" w:rsidRDefault="00000000">
      <w:r>
        <w:rPr>
          <w:b/>
          <w:bCs/>
        </w:rPr>
        <w:t>BTEX (Benzene, Toluene, Ethyl Benzene, Xylenes)</w:t>
      </w:r>
    </w:p>
    <w:p w14:paraId="00000009" w14:textId="77777777" w:rsidR="00F1232C" w:rsidRDefault="00F1232C"/>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85"/>
        <w:gridCol w:w="5775"/>
      </w:tblGrid>
      <w:tr w:rsidR="00F1232C" w14:paraId="0C83A241" w14:textId="77777777">
        <w:tc>
          <w:tcPr>
            <w:tcW w:w="3585" w:type="dxa"/>
            <w:tcMar>
              <w:top w:w="100" w:type="dxa"/>
              <w:left w:w="100" w:type="dxa"/>
              <w:bottom w:w="100" w:type="dxa"/>
              <w:right w:w="100" w:type="dxa"/>
            </w:tcMar>
          </w:tcPr>
          <w:p w14:paraId="0000000A" w14:textId="77777777" w:rsidR="00F1232C" w:rsidRDefault="00000000">
            <w:pPr>
              <w:widowControl w:val="0"/>
              <w:pBdr>
                <w:top w:val="nil"/>
                <w:left w:val="nil"/>
                <w:bottom w:val="nil"/>
                <w:right w:val="nil"/>
                <w:between w:val="nil"/>
              </w:pBdr>
              <w:spacing w:line="240" w:lineRule="auto"/>
              <w:rPr>
                <w:b/>
                <w:bCs/>
              </w:rPr>
            </w:pPr>
            <w:r>
              <w:rPr>
                <w:b/>
                <w:bCs/>
              </w:rPr>
              <w:t>Instrument Manufacturer</w:t>
            </w:r>
          </w:p>
        </w:tc>
        <w:tc>
          <w:tcPr>
            <w:tcW w:w="5775" w:type="dxa"/>
            <w:tcMar>
              <w:top w:w="100" w:type="dxa"/>
              <w:left w:w="100" w:type="dxa"/>
              <w:bottom w:w="100" w:type="dxa"/>
              <w:right w:w="100" w:type="dxa"/>
            </w:tcMar>
          </w:tcPr>
          <w:p w14:paraId="0000000B" w14:textId="77777777" w:rsidR="00F1232C" w:rsidRDefault="00000000">
            <w:pPr>
              <w:widowControl w:val="0"/>
              <w:pBdr>
                <w:top w:val="nil"/>
                <w:left w:val="nil"/>
                <w:bottom w:val="nil"/>
                <w:right w:val="nil"/>
                <w:between w:val="nil"/>
              </w:pBdr>
              <w:spacing w:line="240" w:lineRule="auto"/>
            </w:pPr>
            <w:r>
              <w:t>Pollution Analytical Equipment</w:t>
            </w:r>
          </w:p>
        </w:tc>
      </w:tr>
      <w:tr w:rsidR="00F1232C" w14:paraId="30F4488B" w14:textId="77777777">
        <w:tc>
          <w:tcPr>
            <w:tcW w:w="3585" w:type="dxa"/>
            <w:tcMar>
              <w:top w:w="100" w:type="dxa"/>
              <w:left w:w="100" w:type="dxa"/>
              <w:bottom w:w="100" w:type="dxa"/>
              <w:right w:w="100" w:type="dxa"/>
            </w:tcMar>
          </w:tcPr>
          <w:p w14:paraId="0000000C" w14:textId="77777777" w:rsidR="00F1232C" w:rsidRDefault="00000000">
            <w:pPr>
              <w:widowControl w:val="0"/>
              <w:pBdr>
                <w:top w:val="nil"/>
                <w:left w:val="nil"/>
                <w:bottom w:val="nil"/>
                <w:right w:val="nil"/>
                <w:between w:val="nil"/>
              </w:pBdr>
              <w:spacing w:line="240" w:lineRule="auto"/>
              <w:rPr>
                <w:b/>
                <w:bCs/>
              </w:rPr>
            </w:pPr>
            <w:r>
              <w:rPr>
                <w:b/>
                <w:bCs/>
              </w:rPr>
              <w:t>Instrument Model</w:t>
            </w:r>
          </w:p>
        </w:tc>
        <w:tc>
          <w:tcPr>
            <w:tcW w:w="5775" w:type="dxa"/>
            <w:tcMar>
              <w:top w:w="100" w:type="dxa"/>
              <w:left w:w="100" w:type="dxa"/>
              <w:bottom w:w="100" w:type="dxa"/>
              <w:right w:w="100" w:type="dxa"/>
            </w:tcMar>
          </w:tcPr>
          <w:p w14:paraId="0000000D" w14:textId="77777777" w:rsidR="00F1232C" w:rsidRDefault="00000000">
            <w:pPr>
              <w:widowControl w:val="0"/>
              <w:pBdr>
                <w:top w:val="nil"/>
                <w:left w:val="nil"/>
                <w:bottom w:val="nil"/>
                <w:right w:val="nil"/>
                <w:between w:val="nil"/>
              </w:pBdr>
              <w:spacing w:line="240" w:lineRule="auto"/>
            </w:pPr>
            <w:r>
              <w:t>PyxisGC BTEX</w:t>
            </w:r>
          </w:p>
        </w:tc>
      </w:tr>
      <w:tr w:rsidR="00F1232C" w14:paraId="268FC76D" w14:textId="77777777">
        <w:tc>
          <w:tcPr>
            <w:tcW w:w="3585" w:type="dxa"/>
            <w:tcMar>
              <w:top w:w="100" w:type="dxa"/>
              <w:left w:w="100" w:type="dxa"/>
              <w:bottom w:w="100" w:type="dxa"/>
              <w:right w:w="100" w:type="dxa"/>
            </w:tcMar>
          </w:tcPr>
          <w:p w14:paraId="0000000E" w14:textId="77777777" w:rsidR="00F1232C" w:rsidRDefault="00000000">
            <w:pPr>
              <w:widowControl w:val="0"/>
              <w:pBdr>
                <w:top w:val="nil"/>
                <w:left w:val="nil"/>
                <w:bottom w:val="nil"/>
                <w:right w:val="nil"/>
                <w:between w:val="nil"/>
              </w:pBdr>
              <w:spacing w:line="240" w:lineRule="auto"/>
              <w:rPr>
                <w:b/>
                <w:bCs/>
              </w:rPr>
            </w:pPr>
            <w:r>
              <w:rPr>
                <w:b/>
                <w:bCs/>
              </w:rPr>
              <w:t>Compounds Detected</w:t>
            </w:r>
          </w:p>
        </w:tc>
        <w:tc>
          <w:tcPr>
            <w:tcW w:w="5775" w:type="dxa"/>
            <w:tcMar>
              <w:top w:w="100" w:type="dxa"/>
              <w:left w:w="100" w:type="dxa"/>
              <w:bottom w:w="100" w:type="dxa"/>
              <w:right w:w="100" w:type="dxa"/>
            </w:tcMar>
          </w:tcPr>
          <w:p w14:paraId="0000000F" w14:textId="77777777" w:rsidR="00F1232C" w:rsidRDefault="00000000">
            <w:pPr>
              <w:widowControl w:val="0"/>
              <w:pBdr>
                <w:top w:val="nil"/>
                <w:left w:val="nil"/>
                <w:bottom w:val="nil"/>
                <w:right w:val="nil"/>
                <w:between w:val="nil"/>
              </w:pBdr>
              <w:spacing w:line="240" w:lineRule="auto"/>
            </w:pPr>
            <w:r>
              <w:t>Benzene, Toluene, Ethyl Benzene, Xylenes (BTEX)</w:t>
            </w:r>
          </w:p>
        </w:tc>
      </w:tr>
      <w:tr w:rsidR="00F1232C" w14:paraId="74E26CA6" w14:textId="77777777">
        <w:tc>
          <w:tcPr>
            <w:tcW w:w="3585" w:type="dxa"/>
            <w:tcMar>
              <w:top w:w="100" w:type="dxa"/>
              <w:left w:w="100" w:type="dxa"/>
              <w:bottom w:w="100" w:type="dxa"/>
              <w:right w:w="100" w:type="dxa"/>
            </w:tcMar>
          </w:tcPr>
          <w:p w14:paraId="00000010" w14:textId="77777777" w:rsidR="00F1232C" w:rsidRDefault="00000000">
            <w:pPr>
              <w:widowControl w:val="0"/>
              <w:pBdr>
                <w:top w:val="nil"/>
                <w:left w:val="nil"/>
                <w:bottom w:val="nil"/>
                <w:right w:val="nil"/>
                <w:between w:val="nil"/>
              </w:pBdr>
              <w:spacing w:line="240" w:lineRule="auto"/>
              <w:rPr>
                <w:b/>
                <w:bCs/>
              </w:rPr>
            </w:pPr>
            <w:r>
              <w:rPr>
                <w:b/>
                <w:bCs/>
              </w:rPr>
              <w:t>Units</w:t>
            </w:r>
          </w:p>
        </w:tc>
        <w:tc>
          <w:tcPr>
            <w:tcW w:w="5775" w:type="dxa"/>
            <w:tcMar>
              <w:top w:w="100" w:type="dxa"/>
              <w:left w:w="100" w:type="dxa"/>
              <w:bottom w:w="100" w:type="dxa"/>
              <w:right w:w="100" w:type="dxa"/>
            </w:tcMar>
          </w:tcPr>
          <w:p w14:paraId="00000011" w14:textId="77777777" w:rsidR="00F1232C" w:rsidRDefault="00000000">
            <w:pPr>
              <w:widowControl w:val="0"/>
              <w:pBdr>
                <w:top w:val="nil"/>
                <w:left w:val="nil"/>
                <w:bottom w:val="nil"/>
                <w:right w:val="nil"/>
                <w:between w:val="nil"/>
              </w:pBdr>
              <w:spacing w:line="240" w:lineRule="auto"/>
            </w:pPr>
            <w:r>
              <w:t>ppbV, ppbV, ppbV, ppbV</w:t>
            </w:r>
          </w:p>
        </w:tc>
      </w:tr>
      <w:tr w:rsidR="00F1232C" w14:paraId="2D6F0428" w14:textId="77777777">
        <w:tc>
          <w:tcPr>
            <w:tcW w:w="3585" w:type="dxa"/>
            <w:tcMar>
              <w:top w:w="100" w:type="dxa"/>
              <w:left w:w="100" w:type="dxa"/>
              <w:bottom w:w="100" w:type="dxa"/>
              <w:right w:w="100" w:type="dxa"/>
            </w:tcMar>
          </w:tcPr>
          <w:p w14:paraId="00000012" w14:textId="77777777" w:rsidR="00F1232C" w:rsidRDefault="00000000">
            <w:pPr>
              <w:widowControl w:val="0"/>
              <w:pBdr>
                <w:top w:val="nil"/>
                <w:left w:val="nil"/>
                <w:bottom w:val="nil"/>
                <w:right w:val="nil"/>
                <w:between w:val="nil"/>
              </w:pBdr>
              <w:spacing w:line="240" w:lineRule="auto"/>
              <w:rPr>
                <w:b/>
                <w:bCs/>
              </w:rPr>
            </w:pPr>
            <w:r>
              <w:rPr>
                <w:b/>
                <w:bCs/>
              </w:rPr>
              <w:t>Detection Limits (in units)</w:t>
            </w:r>
          </w:p>
        </w:tc>
        <w:tc>
          <w:tcPr>
            <w:tcW w:w="5775" w:type="dxa"/>
            <w:tcMar>
              <w:top w:w="100" w:type="dxa"/>
              <w:left w:w="100" w:type="dxa"/>
              <w:bottom w:w="100" w:type="dxa"/>
              <w:right w:w="100" w:type="dxa"/>
            </w:tcMar>
          </w:tcPr>
          <w:p w14:paraId="00000013" w14:textId="77777777" w:rsidR="00F1232C" w:rsidRDefault="00000000">
            <w:pPr>
              <w:widowControl w:val="0"/>
              <w:pBdr>
                <w:top w:val="nil"/>
                <w:left w:val="nil"/>
                <w:bottom w:val="nil"/>
                <w:right w:val="nil"/>
                <w:between w:val="nil"/>
              </w:pBdr>
              <w:spacing w:line="240" w:lineRule="auto"/>
            </w:pPr>
            <w:r>
              <w:t>0.05, 0.05, 0.25, 1</w:t>
            </w:r>
          </w:p>
        </w:tc>
      </w:tr>
      <w:tr w:rsidR="00F1232C" w14:paraId="16FF4315" w14:textId="77777777">
        <w:tc>
          <w:tcPr>
            <w:tcW w:w="3585" w:type="dxa"/>
            <w:tcMar>
              <w:top w:w="100" w:type="dxa"/>
              <w:left w:w="100" w:type="dxa"/>
              <w:bottom w:w="100" w:type="dxa"/>
              <w:right w:w="100" w:type="dxa"/>
            </w:tcMar>
          </w:tcPr>
          <w:p w14:paraId="00000014" w14:textId="77777777" w:rsidR="00F1232C" w:rsidRDefault="00000000">
            <w:pPr>
              <w:widowControl w:val="0"/>
              <w:pBdr>
                <w:top w:val="nil"/>
                <w:left w:val="nil"/>
                <w:bottom w:val="nil"/>
                <w:right w:val="nil"/>
                <w:between w:val="nil"/>
              </w:pBdr>
              <w:spacing w:line="240" w:lineRule="auto"/>
              <w:rPr>
                <w:b/>
                <w:bCs/>
              </w:rPr>
            </w:pPr>
            <w:r>
              <w:rPr>
                <w:b/>
                <w:bCs/>
              </w:rPr>
              <w:t>Sampling Resolution</w:t>
            </w:r>
          </w:p>
        </w:tc>
        <w:tc>
          <w:tcPr>
            <w:tcW w:w="5775" w:type="dxa"/>
            <w:tcMar>
              <w:top w:w="100" w:type="dxa"/>
              <w:left w:w="100" w:type="dxa"/>
              <w:bottom w:w="100" w:type="dxa"/>
              <w:right w:w="100" w:type="dxa"/>
            </w:tcMar>
          </w:tcPr>
          <w:p w14:paraId="00000015" w14:textId="77777777" w:rsidR="00F1232C" w:rsidRDefault="00000000">
            <w:pPr>
              <w:widowControl w:val="0"/>
              <w:pBdr>
                <w:top w:val="nil"/>
                <w:left w:val="nil"/>
                <w:bottom w:val="nil"/>
                <w:right w:val="nil"/>
                <w:between w:val="nil"/>
              </w:pBdr>
              <w:spacing w:line="240" w:lineRule="auto"/>
            </w:pPr>
            <w:r>
              <w:t xml:space="preserve"> 597 seconds (9 minutes, 57 seconds)</w:t>
            </w:r>
          </w:p>
        </w:tc>
      </w:tr>
      <w:tr w:rsidR="00F1232C" w14:paraId="59BD3A38" w14:textId="77777777">
        <w:tc>
          <w:tcPr>
            <w:tcW w:w="3585" w:type="dxa"/>
            <w:tcMar>
              <w:top w:w="100" w:type="dxa"/>
              <w:left w:w="100" w:type="dxa"/>
              <w:bottom w:w="100" w:type="dxa"/>
              <w:right w:w="100" w:type="dxa"/>
            </w:tcMar>
          </w:tcPr>
          <w:p w14:paraId="00000016" w14:textId="77777777" w:rsidR="00F1232C" w:rsidRDefault="00000000">
            <w:pPr>
              <w:widowControl w:val="0"/>
              <w:pBdr>
                <w:top w:val="nil"/>
                <w:left w:val="nil"/>
                <w:bottom w:val="nil"/>
                <w:right w:val="nil"/>
                <w:between w:val="nil"/>
              </w:pBdr>
              <w:spacing w:line="240" w:lineRule="auto"/>
              <w:rPr>
                <w:b/>
                <w:bCs/>
              </w:rPr>
            </w:pPr>
            <w:r>
              <w:rPr>
                <w:b/>
                <w:bCs/>
              </w:rPr>
              <w:t>Notes</w:t>
            </w:r>
          </w:p>
        </w:tc>
        <w:tc>
          <w:tcPr>
            <w:tcW w:w="5775" w:type="dxa"/>
            <w:tcMar>
              <w:top w:w="100" w:type="dxa"/>
              <w:left w:w="100" w:type="dxa"/>
              <w:bottom w:w="100" w:type="dxa"/>
              <w:right w:w="100" w:type="dxa"/>
            </w:tcMar>
          </w:tcPr>
          <w:p w14:paraId="00000017" w14:textId="77777777" w:rsidR="00F1232C" w:rsidRDefault="00000000">
            <w:pPr>
              <w:widowControl w:val="0"/>
              <w:pBdr>
                <w:top w:val="nil"/>
                <w:left w:val="nil"/>
                <w:bottom w:val="nil"/>
                <w:right w:val="nil"/>
                <w:between w:val="nil"/>
              </w:pBdr>
              <w:spacing w:line="240" w:lineRule="auto"/>
            </w:pPr>
            <w:r>
              <w:t>Sampling onto the preconcentrator occurs during the last 6 minutes of each sampling period.</w:t>
            </w:r>
          </w:p>
        </w:tc>
      </w:tr>
    </w:tbl>
    <w:p w14:paraId="00000018" w14:textId="77777777" w:rsidR="00F1232C" w:rsidRDefault="00F1232C"/>
    <w:p w14:paraId="00000019" w14:textId="77777777" w:rsidR="00F1232C" w:rsidRDefault="00F1232C"/>
    <w:p w14:paraId="0000001A" w14:textId="77777777" w:rsidR="00F1232C" w:rsidRDefault="00F1232C"/>
    <w:p w14:paraId="0000001B" w14:textId="77777777" w:rsidR="00F1232C" w:rsidRDefault="00F1232C"/>
    <w:p w14:paraId="0000001C" w14:textId="77777777" w:rsidR="00F1232C" w:rsidRDefault="00F1232C"/>
    <w:p w14:paraId="0000001D" w14:textId="77777777" w:rsidR="00F1232C" w:rsidRDefault="00F1232C"/>
    <w:p w14:paraId="0000001E" w14:textId="77777777" w:rsidR="00F1232C" w:rsidRDefault="00F1232C"/>
    <w:p w14:paraId="0000001F" w14:textId="77777777" w:rsidR="00F1232C" w:rsidRDefault="00F1232C"/>
    <w:p w14:paraId="00000020" w14:textId="77777777" w:rsidR="00F1232C" w:rsidRDefault="00F1232C"/>
    <w:p w14:paraId="00000021" w14:textId="77777777" w:rsidR="00F1232C" w:rsidRDefault="00F1232C"/>
    <w:p w14:paraId="00000022" w14:textId="77777777" w:rsidR="00F1232C" w:rsidRDefault="00F1232C"/>
    <w:p w14:paraId="00000023" w14:textId="77777777" w:rsidR="00F1232C" w:rsidRDefault="00F1232C"/>
    <w:p w14:paraId="00000024" w14:textId="77777777" w:rsidR="00F1232C" w:rsidRDefault="00F1232C"/>
    <w:p w14:paraId="00000025" w14:textId="77777777" w:rsidR="00F1232C" w:rsidRDefault="00F1232C"/>
    <w:p w14:paraId="00000026" w14:textId="77777777" w:rsidR="00F1232C" w:rsidRDefault="00F1232C"/>
    <w:p w14:paraId="00000027" w14:textId="77777777" w:rsidR="00F1232C" w:rsidRDefault="00000000">
      <w:pPr>
        <w:rPr>
          <w:b/>
          <w:bCs/>
          <w:sz w:val="26"/>
          <w:szCs w:val="26"/>
        </w:rPr>
      </w:pPr>
      <w:r>
        <w:rPr>
          <w:b/>
          <w:bCs/>
          <w:sz w:val="26"/>
          <w:szCs w:val="26"/>
        </w:rPr>
        <w:lastRenderedPageBreak/>
        <w:t>Health Guideline Value (HGV) / Level 1 Acute Exposure Guideline Levels (AEGL) Reference Guide</w:t>
      </w:r>
    </w:p>
    <w:p w14:paraId="00000028" w14:textId="77777777" w:rsidR="00F1232C" w:rsidRDefault="00F1232C">
      <w:pPr>
        <w:rPr>
          <w:b/>
          <w:bCs/>
          <w:sz w:val="26"/>
          <w:szCs w:val="26"/>
        </w:rPr>
      </w:pPr>
    </w:p>
    <w:p w14:paraId="00000029" w14:textId="77777777" w:rsidR="00F1232C" w:rsidRDefault="00000000">
      <w:r>
        <w:t xml:space="preserve">These concentrations are established by the EPA (AEGL) and CDPHE (HGV) for the compounds measured at this deployment that can cause acute health effects. </w:t>
      </w:r>
    </w:p>
    <w:p w14:paraId="0000002A" w14:textId="77777777" w:rsidR="00F1232C" w:rsidRDefault="00F1232C"/>
    <w:tbl>
      <w:tblPr>
        <w:tblStyle w:val="a0"/>
        <w:tblW w:w="313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45"/>
        <w:gridCol w:w="1890"/>
      </w:tblGrid>
      <w:tr w:rsidR="00F1232C" w14:paraId="4B6F5C05" w14:textId="77777777">
        <w:trPr>
          <w:trHeight w:val="983"/>
        </w:trPr>
        <w:tc>
          <w:tcPr>
            <w:tcW w:w="1245" w:type="dxa"/>
            <w:tcMar>
              <w:top w:w="100" w:type="dxa"/>
              <w:left w:w="100" w:type="dxa"/>
              <w:bottom w:w="100" w:type="dxa"/>
              <w:right w:w="100" w:type="dxa"/>
            </w:tcMar>
          </w:tcPr>
          <w:p w14:paraId="0000002B" w14:textId="77777777" w:rsidR="00F1232C" w:rsidRDefault="00000000">
            <w:pPr>
              <w:widowControl w:val="0"/>
              <w:pBdr>
                <w:top w:val="nil"/>
                <w:left w:val="nil"/>
                <w:bottom w:val="nil"/>
                <w:right w:val="nil"/>
                <w:between w:val="nil"/>
              </w:pBdr>
              <w:spacing w:line="240" w:lineRule="auto"/>
              <w:rPr>
                <w:b/>
                <w:bCs/>
              </w:rPr>
            </w:pPr>
            <w:r>
              <w:rPr>
                <w:b/>
                <w:bCs/>
              </w:rPr>
              <w:t>Exposure Time</w:t>
            </w:r>
          </w:p>
        </w:tc>
        <w:tc>
          <w:tcPr>
            <w:tcW w:w="1890" w:type="dxa"/>
            <w:tcMar>
              <w:top w:w="100" w:type="dxa"/>
              <w:left w:w="100" w:type="dxa"/>
              <w:bottom w:w="100" w:type="dxa"/>
              <w:right w:w="100" w:type="dxa"/>
            </w:tcMar>
          </w:tcPr>
          <w:p w14:paraId="0000002C" w14:textId="77777777" w:rsidR="00F1232C" w:rsidRDefault="00000000">
            <w:pPr>
              <w:widowControl w:val="0"/>
              <w:pBdr>
                <w:top w:val="nil"/>
                <w:left w:val="nil"/>
                <w:bottom w:val="nil"/>
                <w:right w:val="nil"/>
                <w:between w:val="nil"/>
              </w:pBdr>
              <w:spacing w:line="240" w:lineRule="auto"/>
              <w:rPr>
                <w:b/>
                <w:bCs/>
              </w:rPr>
            </w:pPr>
            <w:r>
              <w:rPr>
                <w:b/>
                <w:bCs/>
              </w:rPr>
              <w:t>Benzene (ppbV)</w:t>
            </w:r>
          </w:p>
        </w:tc>
      </w:tr>
      <w:tr w:rsidR="00F1232C" w14:paraId="0A2A1851" w14:textId="77777777">
        <w:tc>
          <w:tcPr>
            <w:tcW w:w="1245" w:type="dxa"/>
            <w:tcMar>
              <w:top w:w="100" w:type="dxa"/>
              <w:left w:w="100" w:type="dxa"/>
              <w:bottom w:w="100" w:type="dxa"/>
              <w:right w:w="100" w:type="dxa"/>
            </w:tcMar>
          </w:tcPr>
          <w:p w14:paraId="0000002D" w14:textId="77777777" w:rsidR="00F1232C" w:rsidRDefault="00000000">
            <w:pPr>
              <w:widowControl w:val="0"/>
              <w:pBdr>
                <w:top w:val="nil"/>
                <w:left w:val="nil"/>
                <w:bottom w:val="nil"/>
                <w:right w:val="nil"/>
                <w:between w:val="nil"/>
              </w:pBdr>
              <w:spacing w:line="240" w:lineRule="auto"/>
            </w:pPr>
            <w:r>
              <w:t>10 min</w:t>
            </w:r>
          </w:p>
        </w:tc>
        <w:tc>
          <w:tcPr>
            <w:tcW w:w="1890" w:type="dxa"/>
            <w:tcMar>
              <w:top w:w="100" w:type="dxa"/>
              <w:left w:w="100" w:type="dxa"/>
              <w:bottom w:w="100" w:type="dxa"/>
              <w:right w:w="100" w:type="dxa"/>
            </w:tcMar>
          </w:tcPr>
          <w:p w14:paraId="0000002E" w14:textId="77777777" w:rsidR="00F1232C" w:rsidRDefault="00000000">
            <w:pPr>
              <w:widowControl w:val="0"/>
              <w:pBdr>
                <w:top w:val="nil"/>
                <w:left w:val="nil"/>
                <w:bottom w:val="nil"/>
                <w:right w:val="nil"/>
                <w:between w:val="nil"/>
              </w:pBdr>
              <w:spacing w:line="240" w:lineRule="auto"/>
            </w:pPr>
            <w:r>
              <w:t>130000</w:t>
            </w:r>
          </w:p>
        </w:tc>
      </w:tr>
      <w:tr w:rsidR="00F1232C" w14:paraId="0BF38F81" w14:textId="77777777">
        <w:tc>
          <w:tcPr>
            <w:tcW w:w="1245" w:type="dxa"/>
            <w:tcMar>
              <w:top w:w="100" w:type="dxa"/>
              <w:left w:w="100" w:type="dxa"/>
              <w:bottom w:w="100" w:type="dxa"/>
              <w:right w:w="100" w:type="dxa"/>
            </w:tcMar>
          </w:tcPr>
          <w:p w14:paraId="0000002F" w14:textId="77777777" w:rsidR="00F1232C" w:rsidRDefault="00000000">
            <w:pPr>
              <w:widowControl w:val="0"/>
              <w:pBdr>
                <w:top w:val="nil"/>
                <w:left w:val="nil"/>
                <w:bottom w:val="nil"/>
                <w:right w:val="nil"/>
                <w:between w:val="nil"/>
              </w:pBdr>
              <w:spacing w:line="240" w:lineRule="auto"/>
            </w:pPr>
            <w:r>
              <w:t>30 min</w:t>
            </w:r>
          </w:p>
        </w:tc>
        <w:tc>
          <w:tcPr>
            <w:tcW w:w="1890" w:type="dxa"/>
            <w:tcMar>
              <w:top w:w="100" w:type="dxa"/>
              <w:left w:w="100" w:type="dxa"/>
              <w:bottom w:w="100" w:type="dxa"/>
              <w:right w:w="100" w:type="dxa"/>
            </w:tcMar>
          </w:tcPr>
          <w:p w14:paraId="00000030" w14:textId="77777777" w:rsidR="00F1232C" w:rsidRDefault="00000000">
            <w:pPr>
              <w:widowControl w:val="0"/>
              <w:pBdr>
                <w:top w:val="nil"/>
                <w:left w:val="nil"/>
                <w:bottom w:val="nil"/>
                <w:right w:val="nil"/>
                <w:between w:val="nil"/>
              </w:pBdr>
              <w:spacing w:line="240" w:lineRule="auto"/>
            </w:pPr>
            <w:r>
              <w:t>73000</w:t>
            </w:r>
          </w:p>
        </w:tc>
      </w:tr>
      <w:tr w:rsidR="00F1232C" w14:paraId="19D5048F" w14:textId="77777777">
        <w:tc>
          <w:tcPr>
            <w:tcW w:w="1245" w:type="dxa"/>
            <w:tcMar>
              <w:top w:w="100" w:type="dxa"/>
              <w:left w:w="100" w:type="dxa"/>
              <w:bottom w:w="100" w:type="dxa"/>
              <w:right w:w="100" w:type="dxa"/>
            </w:tcMar>
          </w:tcPr>
          <w:p w14:paraId="00000031" w14:textId="77777777" w:rsidR="00F1232C" w:rsidRDefault="00000000">
            <w:pPr>
              <w:widowControl w:val="0"/>
              <w:pBdr>
                <w:top w:val="nil"/>
                <w:left w:val="nil"/>
                <w:bottom w:val="nil"/>
                <w:right w:val="nil"/>
                <w:between w:val="nil"/>
              </w:pBdr>
              <w:spacing w:line="240" w:lineRule="auto"/>
            </w:pPr>
            <w:r>
              <w:t>60 min</w:t>
            </w:r>
          </w:p>
        </w:tc>
        <w:tc>
          <w:tcPr>
            <w:tcW w:w="1890" w:type="dxa"/>
            <w:tcMar>
              <w:top w:w="100" w:type="dxa"/>
              <w:left w:w="100" w:type="dxa"/>
              <w:bottom w:w="100" w:type="dxa"/>
              <w:right w:w="100" w:type="dxa"/>
            </w:tcMar>
          </w:tcPr>
          <w:p w14:paraId="00000032" w14:textId="77777777" w:rsidR="00F1232C" w:rsidRDefault="00000000">
            <w:pPr>
              <w:widowControl w:val="0"/>
              <w:pBdr>
                <w:top w:val="nil"/>
                <w:left w:val="nil"/>
                <w:bottom w:val="nil"/>
                <w:right w:val="nil"/>
                <w:between w:val="nil"/>
              </w:pBdr>
              <w:spacing w:line="240" w:lineRule="auto"/>
            </w:pPr>
            <w:r>
              <w:t>52000*/9**</w:t>
            </w:r>
          </w:p>
        </w:tc>
      </w:tr>
      <w:tr w:rsidR="00F1232C" w14:paraId="1C1C9A5F" w14:textId="77777777">
        <w:tc>
          <w:tcPr>
            <w:tcW w:w="1245" w:type="dxa"/>
            <w:tcMar>
              <w:top w:w="100" w:type="dxa"/>
              <w:left w:w="100" w:type="dxa"/>
              <w:bottom w:w="100" w:type="dxa"/>
              <w:right w:w="100" w:type="dxa"/>
            </w:tcMar>
          </w:tcPr>
          <w:p w14:paraId="00000033" w14:textId="77777777" w:rsidR="00F1232C" w:rsidRDefault="00000000">
            <w:pPr>
              <w:widowControl w:val="0"/>
              <w:pBdr>
                <w:top w:val="nil"/>
                <w:left w:val="nil"/>
                <w:bottom w:val="nil"/>
                <w:right w:val="nil"/>
                <w:between w:val="nil"/>
              </w:pBdr>
              <w:spacing w:line="240" w:lineRule="auto"/>
            </w:pPr>
            <w:r>
              <w:t>4 hr</w:t>
            </w:r>
          </w:p>
        </w:tc>
        <w:tc>
          <w:tcPr>
            <w:tcW w:w="1890" w:type="dxa"/>
            <w:tcMar>
              <w:top w:w="100" w:type="dxa"/>
              <w:left w:w="100" w:type="dxa"/>
              <w:bottom w:w="100" w:type="dxa"/>
              <w:right w:w="100" w:type="dxa"/>
            </w:tcMar>
          </w:tcPr>
          <w:p w14:paraId="00000034" w14:textId="77777777" w:rsidR="00F1232C" w:rsidRDefault="00000000">
            <w:pPr>
              <w:widowControl w:val="0"/>
              <w:pBdr>
                <w:top w:val="nil"/>
                <w:left w:val="nil"/>
                <w:bottom w:val="nil"/>
                <w:right w:val="nil"/>
                <w:between w:val="nil"/>
              </w:pBdr>
              <w:spacing w:line="240" w:lineRule="auto"/>
            </w:pPr>
            <w:r>
              <w:t>18000</w:t>
            </w:r>
          </w:p>
        </w:tc>
      </w:tr>
      <w:tr w:rsidR="00F1232C" w14:paraId="105AFFBD" w14:textId="77777777">
        <w:tc>
          <w:tcPr>
            <w:tcW w:w="1245" w:type="dxa"/>
            <w:tcMar>
              <w:top w:w="100" w:type="dxa"/>
              <w:left w:w="100" w:type="dxa"/>
              <w:bottom w:w="100" w:type="dxa"/>
              <w:right w:w="100" w:type="dxa"/>
            </w:tcMar>
          </w:tcPr>
          <w:p w14:paraId="00000035" w14:textId="77777777" w:rsidR="00F1232C" w:rsidRDefault="00000000">
            <w:pPr>
              <w:widowControl w:val="0"/>
              <w:pBdr>
                <w:top w:val="nil"/>
                <w:left w:val="nil"/>
                <w:bottom w:val="nil"/>
                <w:right w:val="nil"/>
                <w:between w:val="nil"/>
              </w:pBdr>
              <w:spacing w:line="240" w:lineRule="auto"/>
            </w:pPr>
            <w:r>
              <w:t>8 hr</w:t>
            </w:r>
          </w:p>
        </w:tc>
        <w:tc>
          <w:tcPr>
            <w:tcW w:w="1890" w:type="dxa"/>
            <w:tcMar>
              <w:top w:w="100" w:type="dxa"/>
              <w:left w:w="100" w:type="dxa"/>
              <w:bottom w:w="100" w:type="dxa"/>
              <w:right w:w="100" w:type="dxa"/>
            </w:tcMar>
          </w:tcPr>
          <w:p w14:paraId="00000036" w14:textId="77777777" w:rsidR="00F1232C" w:rsidRDefault="00000000">
            <w:pPr>
              <w:widowControl w:val="0"/>
              <w:pBdr>
                <w:top w:val="nil"/>
                <w:left w:val="nil"/>
                <w:bottom w:val="nil"/>
                <w:right w:val="nil"/>
                <w:between w:val="nil"/>
              </w:pBdr>
              <w:spacing w:line="240" w:lineRule="auto"/>
            </w:pPr>
            <w:r>
              <w:t>9000</w:t>
            </w:r>
          </w:p>
        </w:tc>
      </w:tr>
    </w:tbl>
    <w:p w14:paraId="00000037" w14:textId="77777777" w:rsidR="00F1232C" w:rsidRDefault="00000000">
      <w:r>
        <w:t>*1 hour AEGL</w:t>
      </w:r>
      <w:r>
        <w:br/>
        <w:t>**1 hour HGV</w:t>
      </w:r>
    </w:p>
    <w:p w14:paraId="00000038" w14:textId="77777777" w:rsidR="00F1232C" w:rsidRDefault="00F1232C"/>
    <w:sectPr w:rsidR="00F1232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D3A8DA0-520F-4135-BFD9-5DC858DE051A}"/>
  </w:font>
  <w:font w:name="Cambria">
    <w:panose1 w:val="02040503050406030204"/>
    <w:charset w:val="00"/>
    <w:family w:val="roman"/>
    <w:pitch w:val="variable"/>
    <w:sig w:usb0="E00006FF" w:usb1="420024FF" w:usb2="02000000" w:usb3="00000000" w:csb0="0000019F" w:csb1="00000000"/>
    <w:embedRegular r:id="rId2" w:fontKey="{74C2EF68-C087-4423-B3B6-4E61638B242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232C"/>
    <w:rsid w:val="001155FC"/>
    <w:rsid w:val="00E95745"/>
    <w:rsid w:val="00F123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DA038BD-9503-4487-A949-7043CF701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3eEyPQq0A4GCQZycwTCFbnro5Q==">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209</Words>
  <Characters>1194</Characters>
  <Application>Microsoft Office Word</Application>
  <DocSecurity>0</DocSecurity>
  <Lines>9</Lines>
  <Paragraphs>2</Paragraphs>
  <ScaleCrop>false</ScaleCrop>
  <Company>State of Colorado</Company>
  <LinksUpToDate>false</LinksUpToDate>
  <CharactersWithSpaces>1401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Kloss, Riley</cp:lastModifiedBy>
  <cp:revision>2</cp:revision>
  <dcterms:created xsi:type="dcterms:W3CDTF">2026-06-08T21:37:00Z</dcterms:created>
  <dcterms:modified xsi:type="dcterms:W3CDTF">2026-06-08T21:37:00Z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a9ad6b2b-3027-4fae-9320-9e313eb66e33</vt:lpwstr>
  </property>
</Properties>
</file>